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6B" w:rsidRPr="00FA79A7" w:rsidRDefault="00F2356B" w:rsidP="00F2356B">
      <w:pPr>
        <w:spacing w:after="0"/>
        <w:jc w:val="both"/>
        <w:rPr>
          <w:rFonts w:ascii="Times New Roman" w:hAnsi="Times New Roman" w:cs="Times New Roman"/>
          <w:b/>
        </w:rPr>
      </w:pPr>
      <w:r w:rsidRPr="00FA79A7">
        <w:rPr>
          <w:rFonts w:ascii="Times New Roman" w:hAnsi="Times New Roman" w:cs="Times New Roman"/>
          <w:b/>
        </w:rPr>
        <w:t xml:space="preserve">Öğrenci/Yeni Mezun Hareketliliğinde İlave Hibe Desteği </w:t>
      </w:r>
    </w:p>
    <w:p w:rsidR="00F2356B" w:rsidRPr="00F2356B" w:rsidRDefault="00F2356B" w:rsidP="00F2356B">
      <w:pPr>
        <w:spacing w:after="0"/>
        <w:jc w:val="both"/>
        <w:rPr>
          <w:rFonts w:ascii="Times New Roman" w:hAnsi="Times New Roman" w:cs="Times New Roman"/>
        </w:rPr>
      </w:pPr>
    </w:p>
    <w:p w:rsidR="00F2356B" w:rsidRDefault="00F2356B" w:rsidP="00F2356B">
      <w:pPr>
        <w:spacing w:after="0"/>
        <w:jc w:val="both"/>
        <w:rPr>
          <w:rFonts w:ascii="Times New Roman" w:hAnsi="Times New Roman" w:cs="Times New Roman"/>
        </w:rPr>
      </w:pPr>
      <w:r w:rsidRPr="00F2356B">
        <w:rPr>
          <w:rFonts w:ascii="Times New Roman" w:hAnsi="Times New Roman" w:cs="Times New Roman"/>
        </w:rPr>
        <w:t>Dezavantajlı katılımcılara, hak ettikleri hibeye ek olarak İlave Hibe Desteği sağlanabilecektir. Söz konusu hibenin verilebilmesi için, dezavantajlı katılımcı, ekonomik ve sosyal açıdan imkânları kısıtlı olan ve aşağıdaki alt kategorilere uyan birey olarak tanımlanmıştır.</w:t>
      </w:r>
    </w:p>
    <w:p w:rsidR="00F2356B" w:rsidRPr="00F2356B" w:rsidRDefault="00F2356B" w:rsidP="00F2356B">
      <w:pPr>
        <w:spacing w:after="0"/>
        <w:jc w:val="both"/>
        <w:rPr>
          <w:rFonts w:ascii="Times New Roman" w:hAnsi="Times New Roman" w:cs="Times New Roman"/>
        </w:rPr>
      </w:pPr>
    </w:p>
    <w:p w:rsidR="00F2356B" w:rsidRPr="00F2356B" w:rsidRDefault="00F2356B" w:rsidP="00F2356B">
      <w:pPr>
        <w:spacing w:after="0"/>
        <w:jc w:val="both"/>
        <w:rPr>
          <w:rFonts w:ascii="Times New Roman" w:hAnsi="Times New Roman" w:cs="Times New Roman"/>
        </w:rPr>
      </w:pPr>
      <w:r w:rsidRPr="00F2356B">
        <w:rPr>
          <w:rFonts w:ascii="Times New Roman" w:hAnsi="Times New Roman" w:cs="Times New Roman"/>
        </w:rPr>
        <w:t>1) 2828 sayılı kanuna tabi olanlar (Aile ve Sosyal Hizmetler Bakanlığı tarafından haklarında 2828 sayılı Kanun uyarınca koruma, bakım veya barınma kararı olanlar)</w:t>
      </w:r>
    </w:p>
    <w:p w:rsidR="00F2356B" w:rsidRPr="00F2356B" w:rsidRDefault="00F2356B" w:rsidP="00F2356B">
      <w:pPr>
        <w:spacing w:after="0"/>
        <w:jc w:val="both"/>
        <w:rPr>
          <w:rFonts w:ascii="Times New Roman" w:hAnsi="Times New Roman" w:cs="Times New Roman"/>
        </w:rPr>
      </w:pPr>
      <w:r w:rsidRPr="00F2356B">
        <w:rPr>
          <w:rFonts w:ascii="Times New Roman" w:hAnsi="Times New Roman" w:cs="Times New Roman"/>
        </w:rPr>
        <w:t>2) 5395 sayılı Çocuk Koruma Kanunu Kapsamında haklarında korunma, bakım veya barınma kararı alınmış öğrencilere</w:t>
      </w:r>
    </w:p>
    <w:p w:rsidR="00F2356B" w:rsidRPr="00F2356B" w:rsidRDefault="00F2356B" w:rsidP="00F2356B">
      <w:pPr>
        <w:spacing w:after="0"/>
        <w:jc w:val="both"/>
        <w:rPr>
          <w:rFonts w:ascii="Times New Roman" w:hAnsi="Times New Roman" w:cs="Times New Roman"/>
        </w:rPr>
      </w:pPr>
      <w:r w:rsidRPr="00F2356B">
        <w:rPr>
          <w:rFonts w:ascii="Times New Roman" w:hAnsi="Times New Roman" w:cs="Times New Roman"/>
        </w:rPr>
        <w:t>3) Diğer ebeveyn geliri olmayıp yetim aylığı bağlananlar</w:t>
      </w:r>
    </w:p>
    <w:p w:rsidR="00F2356B" w:rsidRPr="00F2356B" w:rsidRDefault="00F2356B" w:rsidP="00F2356B">
      <w:pPr>
        <w:spacing w:after="0"/>
        <w:jc w:val="both"/>
        <w:rPr>
          <w:rFonts w:ascii="Times New Roman" w:hAnsi="Times New Roman" w:cs="Times New Roman"/>
        </w:rPr>
      </w:pPr>
      <w:r w:rsidRPr="00F2356B">
        <w:rPr>
          <w:rFonts w:ascii="Times New Roman" w:hAnsi="Times New Roman" w:cs="Times New Roman"/>
        </w:rPr>
        <w:t>4) Şehit/Gazi çocukları</w:t>
      </w:r>
    </w:p>
    <w:p w:rsidR="00F2356B" w:rsidRPr="00F2356B" w:rsidRDefault="00F2356B" w:rsidP="00F2356B">
      <w:pPr>
        <w:spacing w:after="0"/>
        <w:jc w:val="both"/>
        <w:rPr>
          <w:rFonts w:ascii="Times New Roman" w:hAnsi="Times New Roman" w:cs="Times New Roman"/>
        </w:rPr>
      </w:pPr>
      <w:r w:rsidRPr="00F2356B">
        <w:rPr>
          <w:rFonts w:ascii="Times New Roman" w:hAnsi="Times New Roman" w:cs="Times New Roman"/>
        </w:rPr>
        <w:t xml:space="preserve">5) Kendisine veya ailesine muhtaçlık aylığı bağlananlar (öğrencinin kendisine, annebabasına veya vasisine Belediyelerden, kamu kurum ve kuruluşlarından (Bakanlıklar, Sosyal Yardımlaşma ve Dayanışma Vakıfları, Vakıflar Genel Müdürlüğü, Kızılay, AFAD gibi kurumlardan </w:t>
      </w:r>
      <w:proofErr w:type="spellStart"/>
      <w:r w:rsidRPr="00F2356B">
        <w:rPr>
          <w:rFonts w:ascii="Times New Roman" w:hAnsi="Times New Roman" w:cs="Times New Roman"/>
        </w:rPr>
        <w:t>Erasmus</w:t>
      </w:r>
      <w:proofErr w:type="spellEnd"/>
      <w:r w:rsidRPr="00F2356B">
        <w:rPr>
          <w:rFonts w:ascii="Times New Roman" w:hAnsi="Times New Roman" w:cs="Times New Roman"/>
        </w:rPr>
        <w:t xml:space="preserve"> başvurusunu yaptığı esnada maddi destek aldığını kanıtlayan bir belge ibraz edilmesi yeterlidir.)</w:t>
      </w:r>
    </w:p>
    <w:p w:rsidR="00F2356B" w:rsidRPr="00F2356B" w:rsidRDefault="00F2356B" w:rsidP="00F2356B">
      <w:pPr>
        <w:spacing w:after="0"/>
        <w:jc w:val="both"/>
        <w:rPr>
          <w:rFonts w:ascii="Times New Roman" w:hAnsi="Times New Roman" w:cs="Times New Roman"/>
        </w:rPr>
      </w:pPr>
      <w:r>
        <w:rPr>
          <w:rFonts w:ascii="Times New Roman" w:hAnsi="Times New Roman" w:cs="Times New Roman"/>
        </w:rPr>
        <w:t>6) Engelliler*</w:t>
      </w:r>
    </w:p>
    <w:p w:rsidR="00F2356B" w:rsidRDefault="00F2356B" w:rsidP="00F2356B">
      <w:pPr>
        <w:spacing w:after="0"/>
        <w:jc w:val="both"/>
        <w:rPr>
          <w:rFonts w:ascii="Times New Roman" w:hAnsi="Times New Roman" w:cs="Times New Roman"/>
        </w:rPr>
      </w:pPr>
      <w:r w:rsidRPr="00F2356B">
        <w:rPr>
          <w:rFonts w:ascii="Times New Roman" w:hAnsi="Times New Roman" w:cs="Times New Roman"/>
        </w:rPr>
        <w:t xml:space="preserve">7) Ebeveynlerinden biri veya vasisi, 65 Yaşını Doldurmuş Muhtaç, Güçsüz Ve Kimsesiz Türk Vatandaşları ile Engelli ve Muhtaç Türk Vatandaşlarına Aylık Bağlanması Hakkında 01.07.1976 tarih ve 2022 sayılı Kanun kapsamında engelli veya muhtaç </w:t>
      </w:r>
      <w:r>
        <w:rPr>
          <w:rFonts w:ascii="Times New Roman" w:hAnsi="Times New Roman" w:cs="Times New Roman"/>
        </w:rPr>
        <w:t>aylığı alan öğrenciler</w:t>
      </w:r>
      <w:r w:rsidR="00FA79A7">
        <w:rPr>
          <w:rFonts w:ascii="Times New Roman" w:hAnsi="Times New Roman" w:cs="Times New Roman"/>
        </w:rPr>
        <w:t>.</w:t>
      </w:r>
    </w:p>
    <w:p w:rsidR="00FA79A7" w:rsidRDefault="00FA79A7" w:rsidP="00F2356B">
      <w:pPr>
        <w:spacing w:after="0"/>
        <w:jc w:val="both"/>
        <w:rPr>
          <w:rFonts w:ascii="Times New Roman" w:hAnsi="Times New Roman" w:cs="Times New Roman"/>
        </w:rPr>
      </w:pPr>
    </w:p>
    <w:p w:rsidR="00FA79A7" w:rsidRPr="00F2356B" w:rsidRDefault="00FA79A7" w:rsidP="00FA79A7">
      <w:pPr>
        <w:spacing w:after="0"/>
        <w:jc w:val="both"/>
        <w:rPr>
          <w:rFonts w:ascii="Times New Roman" w:hAnsi="Times New Roman" w:cs="Times New Roman"/>
          <w:b/>
          <w:color w:val="FF0000"/>
          <w:sz w:val="18"/>
          <w:szCs w:val="18"/>
        </w:rPr>
      </w:pPr>
      <w:r w:rsidRPr="00F2356B">
        <w:rPr>
          <w:rFonts w:ascii="Times New Roman" w:hAnsi="Times New Roman" w:cs="Times New Roman"/>
          <w:b/>
          <w:color w:val="FF0000"/>
          <w:sz w:val="18"/>
          <w:szCs w:val="18"/>
        </w:rPr>
        <w:t xml:space="preserve">*20 Şubat 2019 tarih ve 30692 sayılı </w:t>
      </w:r>
      <w:proofErr w:type="spellStart"/>
      <w:r w:rsidRPr="00F2356B">
        <w:rPr>
          <w:rFonts w:ascii="Times New Roman" w:hAnsi="Times New Roman" w:cs="Times New Roman"/>
          <w:b/>
          <w:color w:val="FF0000"/>
          <w:sz w:val="18"/>
          <w:szCs w:val="18"/>
        </w:rPr>
        <w:t>RG’de</w:t>
      </w:r>
      <w:proofErr w:type="spellEnd"/>
      <w:r w:rsidRPr="00F2356B">
        <w:rPr>
          <w:rFonts w:ascii="Times New Roman" w:hAnsi="Times New Roman" w:cs="Times New Roman"/>
          <w:b/>
          <w:color w:val="FF0000"/>
          <w:sz w:val="18"/>
          <w:szCs w:val="18"/>
        </w:rPr>
        <w:t xml:space="preserve"> yayımlanan “Erişkinler İçin Engellilik Değerlendirmesi Hakkında </w:t>
      </w:r>
      <w:proofErr w:type="spellStart"/>
      <w:r w:rsidRPr="00F2356B">
        <w:rPr>
          <w:rFonts w:ascii="Times New Roman" w:hAnsi="Times New Roman" w:cs="Times New Roman"/>
          <w:b/>
          <w:color w:val="FF0000"/>
          <w:sz w:val="18"/>
          <w:szCs w:val="18"/>
        </w:rPr>
        <w:t>Yönetmelik”te</w:t>
      </w:r>
      <w:proofErr w:type="spellEnd"/>
      <w:r w:rsidRPr="00F2356B">
        <w:rPr>
          <w:rFonts w:ascii="Times New Roman" w:hAnsi="Times New Roman" w:cs="Times New Roman"/>
          <w:b/>
          <w:color w:val="FF0000"/>
          <w:sz w:val="18"/>
          <w:szCs w:val="18"/>
        </w:rPr>
        <w:t xml:space="preserve"> yer alan Engellilik Sağlık Kurulu raporu ile belgelenmiş en az %</w:t>
      </w:r>
      <w:r w:rsidR="00A672A6">
        <w:rPr>
          <w:rFonts w:ascii="Times New Roman" w:hAnsi="Times New Roman" w:cs="Times New Roman"/>
          <w:b/>
          <w:color w:val="FF0000"/>
          <w:sz w:val="18"/>
          <w:szCs w:val="18"/>
        </w:rPr>
        <w:t>5</w:t>
      </w:r>
      <w:r w:rsidRPr="00F2356B">
        <w:rPr>
          <w:rFonts w:ascii="Times New Roman" w:hAnsi="Times New Roman" w:cs="Times New Roman"/>
          <w:b/>
          <w:color w:val="FF0000"/>
          <w:sz w:val="18"/>
          <w:szCs w:val="18"/>
        </w:rPr>
        <w:t>0 engel oranına sahip engelliler</w:t>
      </w:r>
      <w:r w:rsidR="005F198F">
        <w:rPr>
          <w:rFonts w:ascii="Times New Roman" w:hAnsi="Times New Roman" w:cs="Times New Roman"/>
          <w:b/>
          <w:color w:val="FF0000"/>
          <w:sz w:val="18"/>
          <w:szCs w:val="18"/>
        </w:rPr>
        <w:t>.</w:t>
      </w:r>
    </w:p>
    <w:p w:rsidR="00FA79A7" w:rsidRDefault="00FA79A7" w:rsidP="00F2356B">
      <w:pPr>
        <w:spacing w:after="0"/>
        <w:jc w:val="both"/>
        <w:rPr>
          <w:rFonts w:ascii="Times New Roman" w:hAnsi="Times New Roman" w:cs="Times New Roman"/>
        </w:rPr>
      </w:pPr>
    </w:p>
    <w:p w:rsidR="00FA79A7" w:rsidRDefault="00FA79A7" w:rsidP="00F2356B">
      <w:pPr>
        <w:spacing w:after="0"/>
        <w:jc w:val="both"/>
        <w:rPr>
          <w:rFonts w:ascii="Times New Roman" w:hAnsi="Times New Roman" w:cs="Times New Roman"/>
        </w:rPr>
      </w:pPr>
    </w:p>
    <w:p w:rsidR="00FA79A7" w:rsidRDefault="00FA79A7" w:rsidP="00FA79A7">
      <w:pPr>
        <w:spacing w:after="0"/>
        <w:jc w:val="both"/>
        <w:rPr>
          <w:rFonts w:ascii="Times New Roman" w:hAnsi="Times New Roman" w:cs="Times New Roman"/>
        </w:rPr>
      </w:pPr>
      <w:r w:rsidRPr="00FA79A7">
        <w:rPr>
          <w:rFonts w:ascii="Times New Roman" w:hAnsi="Times New Roman" w:cs="Times New Roman"/>
        </w:rPr>
        <w:t xml:space="preserve">Kredi ve Yurtlar Kurumu bursları ve benzeri burslar, başarı bursu niteliğindeki diğer hibe, yardım ve burslar, tek seferlik yardımlar söz konusu maddi yardım kapsamında kabul edilmez. </w:t>
      </w:r>
    </w:p>
    <w:p w:rsidR="00FA79A7" w:rsidRDefault="00FA79A7" w:rsidP="00FA79A7">
      <w:pPr>
        <w:spacing w:after="0"/>
        <w:jc w:val="both"/>
        <w:rPr>
          <w:rFonts w:ascii="Times New Roman" w:hAnsi="Times New Roman" w:cs="Times New Roman"/>
        </w:rPr>
      </w:pPr>
    </w:p>
    <w:p w:rsidR="00FA79A7" w:rsidRPr="00FA79A7" w:rsidRDefault="00FA79A7" w:rsidP="00FA79A7">
      <w:pPr>
        <w:spacing w:after="0"/>
        <w:jc w:val="both"/>
        <w:rPr>
          <w:rFonts w:ascii="Times New Roman" w:hAnsi="Times New Roman" w:cs="Times New Roman"/>
        </w:rPr>
      </w:pPr>
      <w:r w:rsidRPr="00FA79A7">
        <w:rPr>
          <w:rFonts w:ascii="Times New Roman" w:hAnsi="Times New Roman" w:cs="Times New Roman"/>
        </w:rPr>
        <w:t>Yukarıdaki kapsama uyan öğrencilere talepleri halinde ve bu durumlarını belgelendirmek kaydıyla, hareketlilik türüne göre aşağıdaki miktarlarda İlave Hibe Desteği sağlanabilecektir:</w:t>
      </w:r>
    </w:p>
    <w:p w:rsidR="00F2356B" w:rsidRDefault="00F2356B" w:rsidP="00F2356B">
      <w:pPr>
        <w:spacing w:after="0"/>
        <w:jc w:val="both"/>
        <w:rPr>
          <w:rFonts w:ascii="Times New Roman" w:hAnsi="Times New Roman" w:cs="Times New Roman"/>
        </w:rPr>
      </w:pPr>
    </w:p>
    <w:tbl>
      <w:tblPr>
        <w:tblStyle w:val="TabloKlavuzu"/>
        <w:tblW w:w="0" w:type="auto"/>
        <w:tblLook w:val="04A0" w:firstRow="1" w:lastRow="0" w:firstColumn="1" w:lastColumn="0" w:noHBand="0" w:noVBand="1"/>
      </w:tblPr>
      <w:tblGrid>
        <w:gridCol w:w="4531"/>
        <w:gridCol w:w="4531"/>
      </w:tblGrid>
      <w:tr w:rsidR="0002484E" w:rsidTr="0002484E">
        <w:tc>
          <w:tcPr>
            <w:tcW w:w="4531" w:type="dxa"/>
          </w:tcPr>
          <w:p w:rsidR="0002484E" w:rsidRPr="0002484E" w:rsidRDefault="0002484E" w:rsidP="00F2356B">
            <w:pPr>
              <w:jc w:val="both"/>
              <w:rPr>
                <w:rFonts w:ascii="Times New Roman" w:hAnsi="Times New Roman" w:cs="Times New Roman"/>
                <w:b/>
              </w:rPr>
            </w:pPr>
            <w:r w:rsidRPr="0002484E">
              <w:rPr>
                <w:rFonts w:ascii="Times New Roman" w:hAnsi="Times New Roman" w:cs="Times New Roman"/>
                <w:b/>
              </w:rPr>
              <w:t>Hareketlilik türü</w:t>
            </w:r>
          </w:p>
        </w:tc>
        <w:tc>
          <w:tcPr>
            <w:tcW w:w="4531" w:type="dxa"/>
          </w:tcPr>
          <w:p w:rsidR="0002484E" w:rsidRPr="0002484E" w:rsidRDefault="0002484E" w:rsidP="00F2356B">
            <w:pPr>
              <w:jc w:val="both"/>
              <w:rPr>
                <w:rFonts w:ascii="Times New Roman" w:hAnsi="Times New Roman" w:cs="Times New Roman"/>
                <w:b/>
              </w:rPr>
            </w:pPr>
            <w:r w:rsidRPr="0002484E">
              <w:rPr>
                <w:rFonts w:ascii="Times New Roman" w:hAnsi="Times New Roman" w:cs="Times New Roman"/>
                <w:b/>
              </w:rPr>
              <w:t>İlave Hibe Desteği Miktarı</w:t>
            </w:r>
          </w:p>
        </w:tc>
      </w:tr>
      <w:tr w:rsidR="0002484E" w:rsidTr="0002484E">
        <w:tc>
          <w:tcPr>
            <w:tcW w:w="4531" w:type="dxa"/>
          </w:tcPr>
          <w:p w:rsidR="0002484E" w:rsidRDefault="0002484E" w:rsidP="00F2356B">
            <w:pPr>
              <w:jc w:val="both"/>
              <w:rPr>
                <w:rFonts w:ascii="Times New Roman" w:hAnsi="Times New Roman" w:cs="Times New Roman"/>
              </w:rPr>
            </w:pPr>
            <w:r w:rsidRPr="0002484E">
              <w:rPr>
                <w:rFonts w:ascii="Times New Roman" w:hAnsi="Times New Roman" w:cs="Times New Roman"/>
              </w:rPr>
              <w:t>2-12 ay arası öğrenci hareketliliği</w:t>
            </w:r>
          </w:p>
        </w:tc>
        <w:tc>
          <w:tcPr>
            <w:tcW w:w="4531" w:type="dxa"/>
          </w:tcPr>
          <w:p w:rsidR="0002484E" w:rsidRDefault="0002484E" w:rsidP="00F2356B">
            <w:pPr>
              <w:jc w:val="both"/>
              <w:rPr>
                <w:rFonts w:ascii="Times New Roman" w:hAnsi="Times New Roman" w:cs="Times New Roman"/>
              </w:rPr>
            </w:pPr>
            <w:r w:rsidRPr="0002484E">
              <w:rPr>
                <w:rFonts w:ascii="Times New Roman" w:hAnsi="Times New Roman" w:cs="Times New Roman"/>
              </w:rPr>
              <w:t>Aylık 250 €</w:t>
            </w:r>
          </w:p>
        </w:tc>
      </w:tr>
      <w:tr w:rsidR="0002484E" w:rsidTr="0002484E">
        <w:tc>
          <w:tcPr>
            <w:tcW w:w="4531" w:type="dxa"/>
          </w:tcPr>
          <w:p w:rsidR="0002484E" w:rsidRDefault="0002484E" w:rsidP="00F2356B">
            <w:pPr>
              <w:jc w:val="both"/>
              <w:rPr>
                <w:rFonts w:ascii="Times New Roman" w:hAnsi="Times New Roman" w:cs="Times New Roman"/>
              </w:rPr>
            </w:pPr>
            <w:r w:rsidRPr="0002484E">
              <w:rPr>
                <w:rFonts w:ascii="Times New Roman" w:hAnsi="Times New Roman" w:cs="Times New Roman"/>
              </w:rPr>
              <w:t>5-14 gün arasındaki kısa dönem öğrenci hareketliliği*</w:t>
            </w:r>
          </w:p>
        </w:tc>
        <w:tc>
          <w:tcPr>
            <w:tcW w:w="4531" w:type="dxa"/>
          </w:tcPr>
          <w:p w:rsidR="0002484E" w:rsidRDefault="0002484E" w:rsidP="00F2356B">
            <w:pPr>
              <w:jc w:val="both"/>
              <w:rPr>
                <w:rFonts w:ascii="Times New Roman" w:hAnsi="Times New Roman" w:cs="Times New Roman"/>
              </w:rPr>
            </w:pPr>
            <w:r w:rsidRPr="0002484E">
              <w:rPr>
                <w:rFonts w:ascii="Times New Roman" w:hAnsi="Times New Roman" w:cs="Times New Roman"/>
              </w:rPr>
              <w:t>Gündelik hibe toplamına ilaveten 100 €</w:t>
            </w:r>
          </w:p>
        </w:tc>
      </w:tr>
      <w:tr w:rsidR="0002484E" w:rsidTr="0002484E">
        <w:tc>
          <w:tcPr>
            <w:tcW w:w="4531" w:type="dxa"/>
          </w:tcPr>
          <w:p w:rsidR="0002484E" w:rsidRDefault="0002484E" w:rsidP="00F2356B">
            <w:pPr>
              <w:jc w:val="both"/>
              <w:rPr>
                <w:rFonts w:ascii="Times New Roman" w:hAnsi="Times New Roman" w:cs="Times New Roman"/>
              </w:rPr>
            </w:pPr>
            <w:r w:rsidRPr="0002484E">
              <w:rPr>
                <w:rFonts w:ascii="Times New Roman" w:hAnsi="Times New Roman" w:cs="Times New Roman"/>
              </w:rPr>
              <w:t>15-30 gün arasındaki kısa dönem öğrenci hareketliliği*</w:t>
            </w:r>
          </w:p>
        </w:tc>
        <w:tc>
          <w:tcPr>
            <w:tcW w:w="4531" w:type="dxa"/>
          </w:tcPr>
          <w:p w:rsidR="0002484E" w:rsidRDefault="0002484E" w:rsidP="00F2356B">
            <w:pPr>
              <w:jc w:val="both"/>
              <w:rPr>
                <w:rFonts w:ascii="Times New Roman" w:hAnsi="Times New Roman" w:cs="Times New Roman"/>
              </w:rPr>
            </w:pPr>
            <w:r w:rsidRPr="0002484E">
              <w:rPr>
                <w:rFonts w:ascii="Times New Roman" w:hAnsi="Times New Roman" w:cs="Times New Roman"/>
              </w:rPr>
              <w:t>Gündelik hibe toplamına ilaveten 150 €</w:t>
            </w:r>
          </w:p>
        </w:tc>
      </w:tr>
    </w:tbl>
    <w:p w:rsidR="00A92F9B" w:rsidRDefault="0002484E" w:rsidP="0002484E">
      <w:pPr>
        <w:spacing w:after="0"/>
        <w:jc w:val="both"/>
        <w:rPr>
          <w:rFonts w:ascii="Times New Roman" w:hAnsi="Times New Roman" w:cs="Times New Roman"/>
          <w:color w:val="FF0000"/>
          <w:sz w:val="18"/>
          <w:szCs w:val="18"/>
        </w:rPr>
      </w:pPr>
      <w:r w:rsidRPr="0002484E">
        <w:rPr>
          <w:rFonts w:ascii="Times New Roman" w:hAnsi="Times New Roman" w:cs="Times New Roman"/>
          <w:color w:val="FF0000"/>
          <w:sz w:val="18"/>
          <w:szCs w:val="18"/>
        </w:rPr>
        <w:t>*Bu durumda staj için ilave destek verilmez.</w:t>
      </w:r>
    </w:p>
    <w:p w:rsidR="00A92F9B" w:rsidRDefault="00A92F9B" w:rsidP="0002484E">
      <w:pPr>
        <w:spacing w:after="0"/>
        <w:jc w:val="both"/>
        <w:rPr>
          <w:rFonts w:ascii="Times New Roman" w:hAnsi="Times New Roman" w:cs="Times New Roman"/>
          <w:color w:val="FF0000"/>
          <w:sz w:val="18"/>
          <w:szCs w:val="18"/>
        </w:rPr>
      </w:pPr>
    </w:p>
    <w:p w:rsidR="00A672A6" w:rsidRDefault="00A672A6" w:rsidP="0002484E">
      <w:pPr>
        <w:spacing w:after="0"/>
        <w:jc w:val="both"/>
        <w:rPr>
          <w:rFonts w:ascii="Times New Roman" w:hAnsi="Times New Roman" w:cs="Times New Roman"/>
          <w:b/>
        </w:rPr>
      </w:pPr>
    </w:p>
    <w:p w:rsidR="00A672A6" w:rsidRDefault="00A672A6" w:rsidP="0002484E">
      <w:pPr>
        <w:spacing w:after="0"/>
        <w:jc w:val="both"/>
        <w:rPr>
          <w:rFonts w:ascii="Times New Roman" w:hAnsi="Times New Roman" w:cs="Times New Roman"/>
          <w:b/>
        </w:rPr>
      </w:pPr>
    </w:p>
    <w:p w:rsidR="00A92F9B" w:rsidRDefault="00A92F9B" w:rsidP="0002484E">
      <w:pPr>
        <w:spacing w:after="0"/>
        <w:jc w:val="both"/>
        <w:rPr>
          <w:rFonts w:ascii="Times New Roman" w:hAnsi="Times New Roman" w:cs="Times New Roman"/>
        </w:rPr>
      </w:pPr>
      <w:r w:rsidRPr="00A92F9B">
        <w:rPr>
          <w:rFonts w:ascii="Times New Roman" w:hAnsi="Times New Roman" w:cs="Times New Roman"/>
          <w:b/>
        </w:rPr>
        <w:t>Seyahat Desteği</w:t>
      </w:r>
      <w:r w:rsidRPr="00A92F9B">
        <w:rPr>
          <w:rFonts w:ascii="Times New Roman" w:hAnsi="Times New Roman" w:cs="Times New Roman"/>
        </w:rPr>
        <w:t xml:space="preserve"> </w:t>
      </w:r>
    </w:p>
    <w:p w:rsidR="00A92F9B" w:rsidRDefault="00A92F9B" w:rsidP="0002484E">
      <w:pPr>
        <w:spacing w:after="0"/>
        <w:jc w:val="both"/>
        <w:rPr>
          <w:rFonts w:ascii="Times New Roman" w:hAnsi="Times New Roman" w:cs="Times New Roman"/>
        </w:rPr>
      </w:pPr>
    </w:p>
    <w:p w:rsidR="00A92F9B" w:rsidRDefault="00A92F9B" w:rsidP="0002484E">
      <w:pPr>
        <w:spacing w:after="0"/>
        <w:jc w:val="both"/>
        <w:rPr>
          <w:rFonts w:ascii="Times New Roman" w:hAnsi="Times New Roman" w:cs="Times New Roman"/>
        </w:rPr>
      </w:pPr>
      <w:r w:rsidRPr="00A92F9B">
        <w:rPr>
          <w:rFonts w:ascii="Times New Roman" w:hAnsi="Times New Roman" w:cs="Times New Roman"/>
        </w:rPr>
        <w:t xml:space="preserve">Aşağıdaki durumlarda katılımcılar seyahat masraflarına destek mahiyetinde aşağıdaki ek tutarları alacaklardır: </w:t>
      </w:r>
    </w:p>
    <w:p w:rsidR="00A92F9B" w:rsidRDefault="00A92F9B" w:rsidP="0002484E">
      <w:pPr>
        <w:spacing w:after="0"/>
        <w:jc w:val="both"/>
        <w:rPr>
          <w:rFonts w:ascii="Times New Roman" w:hAnsi="Times New Roman" w:cs="Times New Roman"/>
        </w:rPr>
      </w:pPr>
      <w:r w:rsidRPr="00A92F9B">
        <w:rPr>
          <w:rFonts w:ascii="Times New Roman" w:hAnsi="Times New Roman" w:cs="Times New Roman"/>
        </w:rPr>
        <w:sym w:font="Symbol" w:char="F0B7"/>
      </w:r>
      <w:r w:rsidRPr="00A92F9B">
        <w:rPr>
          <w:rFonts w:ascii="Times New Roman" w:hAnsi="Times New Roman" w:cs="Times New Roman"/>
        </w:rPr>
        <w:t xml:space="preserve"> Kısa dönem hareketliliğe katılan dezavantajlı öğrenci/yeni mezunlar </w:t>
      </w:r>
    </w:p>
    <w:p w:rsidR="00A92F9B" w:rsidRDefault="00A92F9B" w:rsidP="0002484E">
      <w:pPr>
        <w:spacing w:after="0"/>
        <w:jc w:val="both"/>
        <w:rPr>
          <w:rFonts w:ascii="Times New Roman" w:hAnsi="Times New Roman" w:cs="Times New Roman"/>
        </w:rPr>
      </w:pPr>
      <w:r w:rsidRPr="00A92F9B">
        <w:rPr>
          <w:rFonts w:ascii="Times New Roman" w:hAnsi="Times New Roman" w:cs="Times New Roman"/>
        </w:rPr>
        <w:sym w:font="Symbol" w:char="F0B7"/>
      </w:r>
      <w:r w:rsidRPr="00A92F9B">
        <w:rPr>
          <w:rFonts w:ascii="Times New Roman" w:hAnsi="Times New Roman" w:cs="Times New Roman"/>
        </w:rPr>
        <w:t xml:space="preserve"> 1-4 ve 6-13. Bölgelerdeki Programla İlişkili Olmayan Ülkelere giden öğrenci/yeni mezunlar (Yararlanıcı yükseköğretim kurumu 1-4 ve 6-13. Bölgelerdeki Programla İlişkili Olmayan Ülkelere giden öğrenci/yeni mezunlara seyahat hibesi vermeyebilir. Ancak bu durumda tüm öğrenci/yeni mezunlara eşit davranılmalıdır.)</w:t>
      </w:r>
    </w:p>
    <w:p w:rsidR="00514F8C" w:rsidRDefault="00514F8C" w:rsidP="0002484E">
      <w:pPr>
        <w:spacing w:after="0"/>
        <w:jc w:val="both"/>
        <w:rPr>
          <w:rFonts w:ascii="Times New Roman" w:hAnsi="Times New Roman" w:cs="Times New Roman"/>
        </w:rPr>
      </w:pPr>
    </w:p>
    <w:p w:rsidR="00514F8C" w:rsidRDefault="00514F8C" w:rsidP="0002484E">
      <w:pPr>
        <w:spacing w:after="0"/>
        <w:jc w:val="both"/>
        <w:rPr>
          <w:rFonts w:ascii="Times New Roman" w:hAnsi="Times New Roman" w:cs="Times New Roman"/>
        </w:rPr>
      </w:pPr>
    </w:p>
    <w:p w:rsidR="00514F8C" w:rsidRDefault="00514F8C" w:rsidP="0002484E">
      <w:pPr>
        <w:spacing w:after="0"/>
        <w:jc w:val="both"/>
        <w:rPr>
          <w:rFonts w:ascii="Times New Roman" w:hAnsi="Times New Roman" w:cs="Times New Roman"/>
        </w:rPr>
      </w:pPr>
    </w:p>
    <w:p w:rsidR="00514F8C" w:rsidRDefault="00514F8C" w:rsidP="0002484E">
      <w:pPr>
        <w:spacing w:after="0"/>
        <w:jc w:val="both"/>
        <w:rPr>
          <w:rFonts w:ascii="Times New Roman" w:hAnsi="Times New Roman" w:cs="Times New Roman"/>
        </w:rPr>
      </w:pPr>
    </w:p>
    <w:tbl>
      <w:tblPr>
        <w:tblStyle w:val="TabloKlavuzu"/>
        <w:tblW w:w="0" w:type="auto"/>
        <w:tblLook w:val="04A0" w:firstRow="1" w:lastRow="0" w:firstColumn="1" w:lastColumn="0" w:noHBand="0" w:noVBand="1"/>
      </w:tblPr>
      <w:tblGrid>
        <w:gridCol w:w="3020"/>
        <w:gridCol w:w="3021"/>
        <w:gridCol w:w="3021"/>
      </w:tblGrid>
      <w:tr w:rsidR="00045755" w:rsidRPr="00045755" w:rsidTr="00045755">
        <w:tc>
          <w:tcPr>
            <w:tcW w:w="3020" w:type="dxa"/>
          </w:tcPr>
          <w:p w:rsidR="00045755" w:rsidRPr="00045755" w:rsidRDefault="00045755" w:rsidP="001673D8">
            <w:pPr>
              <w:jc w:val="both"/>
              <w:rPr>
                <w:rFonts w:ascii="Times New Roman" w:hAnsi="Times New Roman" w:cs="Times New Roman"/>
                <w:b/>
              </w:rPr>
            </w:pPr>
            <w:r w:rsidRPr="00045755">
              <w:rPr>
                <w:rFonts w:ascii="Times New Roman" w:hAnsi="Times New Roman" w:cs="Times New Roman"/>
                <w:b/>
              </w:rPr>
              <w:t>Seyahat Mesafesi</w:t>
            </w:r>
            <w:r w:rsidR="001C4529">
              <w:rPr>
                <w:rFonts w:ascii="Times New Roman" w:hAnsi="Times New Roman" w:cs="Times New Roman"/>
                <w:b/>
              </w:rPr>
              <w:t>*</w:t>
            </w:r>
          </w:p>
        </w:tc>
        <w:tc>
          <w:tcPr>
            <w:tcW w:w="3021" w:type="dxa"/>
          </w:tcPr>
          <w:p w:rsidR="00045755" w:rsidRPr="00045755" w:rsidRDefault="00045755" w:rsidP="001673D8">
            <w:pPr>
              <w:jc w:val="both"/>
              <w:rPr>
                <w:rFonts w:ascii="Times New Roman" w:hAnsi="Times New Roman" w:cs="Times New Roman"/>
                <w:b/>
              </w:rPr>
            </w:pPr>
            <w:r w:rsidRPr="00045755">
              <w:rPr>
                <w:rFonts w:ascii="Times New Roman" w:hAnsi="Times New Roman" w:cs="Times New Roman"/>
                <w:b/>
              </w:rPr>
              <w:t>Standart Seyahat Hibe Tutarı (Avro)</w:t>
            </w:r>
          </w:p>
        </w:tc>
        <w:tc>
          <w:tcPr>
            <w:tcW w:w="3021" w:type="dxa"/>
          </w:tcPr>
          <w:p w:rsidR="00045755" w:rsidRPr="00045755" w:rsidRDefault="00045755" w:rsidP="00045755">
            <w:pPr>
              <w:jc w:val="both"/>
              <w:rPr>
                <w:rFonts w:ascii="Times New Roman" w:hAnsi="Times New Roman" w:cs="Times New Roman"/>
                <w:b/>
              </w:rPr>
            </w:pPr>
            <w:r w:rsidRPr="00045755">
              <w:rPr>
                <w:rFonts w:ascii="Times New Roman" w:hAnsi="Times New Roman" w:cs="Times New Roman"/>
                <w:b/>
              </w:rPr>
              <w:t>Yeşil</w:t>
            </w:r>
            <w:r>
              <w:rPr>
                <w:rFonts w:ascii="Times New Roman" w:hAnsi="Times New Roman" w:cs="Times New Roman"/>
                <w:b/>
              </w:rPr>
              <w:t xml:space="preserve"> </w:t>
            </w:r>
            <w:r w:rsidRPr="00045755">
              <w:rPr>
                <w:rFonts w:ascii="Times New Roman" w:hAnsi="Times New Roman" w:cs="Times New Roman"/>
                <w:b/>
              </w:rPr>
              <w:t>Seyahat Hibe Tutarı(Avro)</w:t>
            </w:r>
          </w:p>
        </w:tc>
      </w:tr>
      <w:tr w:rsidR="00045755" w:rsidRPr="00045755" w:rsidTr="00045755">
        <w:tc>
          <w:tcPr>
            <w:tcW w:w="3020" w:type="dxa"/>
          </w:tcPr>
          <w:p w:rsidR="00045755" w:rsidRPr="00045755" w:rsidRDefault="00045755" w:rsidP="00285511">
            <w:pPr>
              <w:jc w:val="both"/>
              <w:rPr>
                <w:rFonts w:ascii="Times New Roman" w:hAnsi="Times New Roman" w:cs="Times New Roman"/>
              </w:rPr>
            </w:pPr>
            <w:r w:rsidRPr="00045755">
              <w:rPr>
                <w:rFonts w:ascii="Times New Roman" w:hAnsi="Times New Roman" w:cs="Times New Roman"/>
              </w:rPr>
              <w:t>10 ila 99 KM arasında</w:t>
            </w:r>
          </w:p>
        </w:tc>
        <w:tc>
          <w:tcPr>
            <w:tcW w:w="3021" w:type="dxa"/>
          </w:tcPr>
          <w:p w:rsidR="00045755" w:rsidRPr="00045755" w:rsidRDefault="00045755" w:rsidP="00285511">
            <w:pPr>
              <w:jc w:val="both"/>
              <w:rPr>
                <w:rFonts w:ascii="Times New Roman" w:hAnsi="Times New Roman" w:cs="Times New Roman"/>
              </w:rPr>
            </w:pPr>
            <w:r w:rsidRPr="00045755">
              <w:rPr>
                <w:rFonts w:ascii="Times New Roman" w:hAnsi="Times New Roman" w:cs="Times New Roman"/>
              </w:rPr>
              <w:t xml:space="preserve">        23</w:t>
            </w:r>
          </w:p>
        </w:tc>
        <w:tc>
          <w:tcPr>
            <w:tcW w:w="3021" w:type="dxa"/>
          </w:tcPr>
          <w:p w:rsidR="00045755" w:rsidRPr="00045755" w:rsidRDefault="00045755" w:rsidP="00285511">
            <w:pPr>
              <w:jc w:val="both"/>
              <w:rPr>
                <w:rFonts w:ascii="Times New Roman" w:hAnsi="Times New Roman" w:cs="Times New Roman"/>
              </w:rPr>
            </w:pPr>
          </w:p>
        </w:tc>
      </w:tr>
      <w:tr w:rsidR="00045755" w:rsidRPr="00045755" w:rsidTr="00045755">
        <w:tc>
          <w:tcPr>
            <w:tcW w:w="3020" w:type="dxa"/>
          </w:tcPr>
          <w:p w:rsidR="00045755" w:rsidRPr="00045755" w:rsidRDefault="00045755" w:rsidP="00285511">
            <w:pPr>
              <w:jc w:val="both"/>
              <w:rPr>
                <w:rFonts w:ascii="Times New Roman" w:hAnsi="Times New Roman" w:cs="Times New Roman"/>
              </w:rPr>
            </w:pPr>
            <w:r w:rsidRPr="00045755">
              <w:rPr>
                <w:rFonts w:ascii="Times New Roman" w:hAnsi="Times New Roman" w:cs="Times New Roman"/>
              </w:rPr>
              <w:t>100 ila 499 KM arasında</w:t>
            </w:r>
          </w:p>
        </w:tc>
        <w:tc>
          <w:tcPr>
            <w:tcW w:w="3021" w:type="dxa"/>
          </w:tcPr>
          <w:p w:rsidR="00045755" w:rsidRPr="00045755" w:rsidRDefault="00045755" w:rsidP="00285511">
            <w:pPr>
              <w:jc w:val="both"/>
              <w:rPr>
                <w:rFonts w:ascii="Times New Roman" w:hAnsi="Times New Roman" w:cs="Times New Roman"/>
              </w:rPr>
            </w:pPr>
            <w:r w:rsidRPr="00045755">
              <w:rPr>
                <w:rFonts w:ascii="Times New Roman" w:hAnsi="Times New Roman" w:cs="Times New Roman"/>
              </w:rPr>
              <w:t xml:space="preserve">   </w:t>
            </w:r>
            <w:r>
              <w:rPr>
                <w:rFonts w:ascii="Times New Roman" w:hAnsi="Times New Roman" w:cs="Times New Roman"/>
              </w:rPr>
              <w:t xml:space="preserve">    </w:t>
            </w:r>
            <w:r w:rsidRPr="00045755">
              <w:rPr>
                <w:rFonts w:ascii="Times New Roman" w:hAnsi="Times New Roman" w:cs="Times New Roman"/>
              </w:rPr>
              <w:t>180</w:t>
            </w:r>
          </w:p>
        </w:tc>
        <w:tc>
          <w:tcPr>
            <w:tcW w:w="3021" w:type="dxa"/>
          </w:tcPr>
          <w:p w:rsidR="00045755" w:rsidRPr="00045755" w:rsidRDefault="00045755" w:rsidP="00285511">
            <w:pPr>
              <w:jc w:val="both"/>
              <w:rPr>
                <w:rFonts w:ascii="Times New Roman" w:hAnsi="Times New Roman" w:cs="Times New Roman"/>
              </w:rPr>
            </w:pPr>
            <w:r w:rsidRPr="00045755">
              <w:rPr>
                <w:rFonts w:ascii="Times New Roman" w:hAnsi="Times New Roman" w:cs="Times New Roman"/>
              </w:rPr>
              <w:t xml:space="preserve">         210</w:t>
            </w:r>
          </w:p>
        </w:tc>
      </w:tr>
      <w:tr w:rsidR="00045755" w:rsidRPr="00A92F9B" w:rsidTr="00045755">
        <w:tc>
          <w:tcPr>
            <w:tcW w:w="3020" w:type="dxa"/>
          </w:tcPr>
          <w:p w:rsidR="00045755" w:rsidRPr="00045755" w:rsidRDefault="00045755" w:rsidP="00285511">
            <w:pPr>
              <w:jc w:val="both"/>
              <w:rPr>
                <w:rFonts w:ascii="Times New Roman" w:hAnsi="Times New Roman" w:cs="Times New Roman"/>
              </w:rPr>
            </w:pPr>
            <w:r w:rsidRPr="00045755">
              <w:rPr>
                <w:rFonts w:ascii="Times New Roman" w:hAnsi="Times New Roman" w:cs="Times New Roman"/>
              </w:rPr>
              <w:t>500 ila 1999 KM arasında</w:t>
            </w:r>
          </w:p>
        </w:tc>
        <w:tc>
          <w:tcPr>
            <w:tcW w:w="3021" w:type="dxa"/>
          </w:tcPr>
          <w:p w:rsidR="00045755" w:rsidRPr="00045755" w:rsidRDefault="00045755" w:rsidP="00285511">
            <w:pPr>
              <w:jc w:val="both"/>
              <w:rPr>
                <w:rFonts w:ascii="Times New Roman" w:hAnsi="Times New Roman" w:cs="Times New Roman"/>
              </w:rPr>
            </w:pPr>
            <w:r w:rsidRPr="00045755">
              <w:rPr>
                <w:rFonts w:ascii="Times New Roman" w:hAnsi="Times New Roman" w:cs="Times New Roman"/>
              </w:rPr>
              <w:t xml:space="preserve"> </w:t>
            </w:r>
            <w:r>
              <w:rPr>
                <w:rFonts w:ascii="Times New Roman" w:hAnsi="Times New Roman" w:cs="Times New Roman"/>
              </w:rPr>
              <w:t xml:space="preserve">     </w:t>
            </w:r>
            <w:r w:rsidRPr="00045755">
              <w:rPr>
                <w:rFonts w:ascii="Times New Roman" w:hAnsi="Times New Roman" w:cs="Times New Roman"/>
              </w:rPr>
              <w:t xml:space="preserve"> 275</w:t>
            </w:r>
          </w:p>
        </w:tc>
        <w:tc>
          <w:tcPr>
            <w:tcW w:w="3021" w:type="dxa"/>
          </w:tcPr>
          <w:p w:rsidR="00045755" w:rsidRPr="00A92F9B" w:rsidRDefault="00045755" w:rsidP="00285511">
            <w:pPr>
              <w:jc w:val="both"/>
              <w:rPr>
                <w:rFonts w:ascii="Times New Roman" w:hAnsi="Times New Roman" w:cs="Times New Roman"/>
              </w:rPr>
            </w:pPr>
            <w:r w:rsidRPr="00045755">
              <w:rPr>
                <w:rFonts w:ascii="Times New Roman" w:hAnsi="Times New Roman" w:cs="Times New Roman"/>
              </w:rPr>
              <w:t xml:space="preserve">        </w:t>
            </w:r>
            <w:r>
              <w:rPr>
                <w:rFonts w:ascii="Times New Roman" w:hAnsi="Times New Roman" w:cs="Times New Roman"/>
              </w:rPr>
              <w:t xml:space="preserve"> </w:t>
            </w:r>
            <w:r w:rsidRPr="00045755">
              <w:rPr>
                <w:rFonts w:ascii="Times New Roman" w:hAnsi="Times New Roman" w:cs="Times New Roman"/>
              </w:rPr>
              <w:t>320</w:t>
            </w:r>
          </w:p>
        </w:tc>
      </w:tr>
      <w:tr w:rsidR="00045755" w:rsidRPr="00045755" w:rsidTr="00045755">
        <w:tc>
          <w:tcPr>
            <w:tcW w:w="3020" w:type="dxa"/>
          </w:tcPr>
          <w:p w:rsidR="00045755" w:rsidRPr="00045755" w:rsidRDefault="00045755" w:rsidP="00A62D35">
            <w:pPr>
              <w:jc w:val="both"/>
              <w:rPr>
                <w:rFonts w:ascii="Times New Roman" w:hAnsi="Times New Roman" w:cs="Times New Roman"/>
              </w:rPr>
            </w:pPr>
            <w:r w:rsidRPr="00045755">
              <w:rPr>
                <w:rFonts w:ascii="Times New Roman" w:hAnsi="Times New Roman" w:cs="Times New Roman"/>
              </w:rPr>
              <w:t>2000 ila 2999 KM arasında</w:t>
            </w:r>
          </w:p>
        </w:tc>
        <w:tc>
          <w:tcPr>
            <w:tcW w:w="3021" w:type="dxa"/>
          </w:tcPr>
          <w:p w:rsidR="00045755" w:rsidRPr="00045755" w:rsidRDefault="00045755" w:rsidP="00A62D35">
            <w:pPr>
              <w:jc w:val="both"/>
              <w:rPr>
                <w:rFonts w:ascii="Times New Roman" w:hAnsi="Times New Roman" w:cs="Times New Roman"/>
              </w:rPr>
            </w:pPr>
            <w:r>
              <w:rPr>
                <w:rFonts w:ascii="Times New Roman" w:hAnsi="Times New Roman" w:cs="Times New Roman"/>
              </w:rPr>
              <w:t xml:space="preserve">       </w:t>
            </w:r>
            <w:r w:rsidRPr="00045755">
              <w:rPr>
                <w:rFonts w:ascii="Times New Roman" w:hAnsi="Times New Roman" w:cs="Times New Roman"/>
              </w:rPr>
              <w:t>360</w:t>
            </w:r>
          </w:p>
        </w:tc>
        <w:tc>
          <w:tcPr>
            <w:tcW w:w="3021" w:type="dxa"/>
          </w:tcPr>
          <w:p w:rsidR="00045755" w:rsidRPr="00045755" w:rsidRDefault="00045755" w:rsidP="00A62D35">
            <w:pPr>
              <w:jc w:val="both"/>
              <w:rPr>
                <w:rFonts w:ascii="Times New Roman" w:hAnsi="Times New Roman" w:cs="Times New Roman"/>
              </w:rPr>
            </w:pPr>
            <w:r>
              <w:rPr>
                <w:rFonts w:ascii="Times New Roman" w:hAnsi="Times New Roman" w:cs="Times New Roman"/>
              </w:rPr>
              <w:t xml:space="preserve">         </w:t>
            </w:r>
            <w:r w:rsidRPr="00045755">
              <w:rPr>
                <w:rFonts w:ascii="Times New Roman" w:hAnsi="Times New Roman" w:cs="Times New Roman"/>
              </w:rPr>
              <w:t>410</w:t>
            </w:r>
          </w:p>
        </w:tc>
      </w:tr>
      <w:tr w:rsidR="00045755" w:rsidRPr="00045755" w:rsidTr="00045755">
        <w:tc>
          <w:tcPr>
            <w:tcW w:w="3020" w:type="dxa"/>
          </w:tcPr>
          <w:p w:rsidR="00045755" w:rsidRPr="00045755" w:rsidRDefault="00045755" w:rsidP="00A62D35">
            <w:pPr>
              <w:jc w:val="both"/>
              <w:rPr>
                <w:rFonts w:ascii="Times New Roman" w:hAnsi="Times New Roman" w:cs="Times New Roman"/>
              </w:rPr>
            </w:pPr>
            <w:r w:rsidRPr="00045755">
              <w:rPr>
                <w:rFonts w:ascii="Times New Roman" w:hAnsi="Times New Roman" w:cs="Times New Roman"/>
              </w:rPr>
              <w:t>3000 ila 3999 KM arasında</w:t>
            </w:r>
          </w:p>
        </w:tc>
        <w:tc>
          <w:tcPr>
            <w:tcW w:w="3021" w:type="dxa"/>
          </w:tcPr>
          <w:p w:rsidR="00045755" w:rsidRPr="00045755" w:rsidRDefault="00045755" w:rsidP="00A62D35">
            <w:pPr>
              <w:jc w:val="both"/>
              <w:rPr>
                <w:rFonts w:ascii="Times New Roman" w:hAnsi="Times New Roman" w:cs="Times New Roman"/>
              </w:rPr>
            </w:pPr>
            <w:r>
              <w:rPr>
                <w:rFonts w:ascii="Times New Roman" w:hAnsi="Times New Roman" w:cs="Times New Roman"/>
              </w:rPr>
              <w:t xml:space="preserve">       </w:t>
            </w:r>
            <w:r w:rsidRPr="00045755">
              <w:rPr>
                <w:rFonts w:ascii="Times New Roman" w:hAnsi="Times New Roman" w:cs="Times New Roman"/>
              </w:rPr>
              <w:t>530</w:t>
            </w:r>
          </w:p>
        </w:tc>
        <w:tc>
          <w:tcPr>
            <w:tcW w:w="3021" w:type="dxa"/>
          </w:tcPr>
          <w:p w:rsidR="00045755" w:rsidRPr="00045755" w:rsidRDefault="00045755" w:rsidP="00A62D35">
            <w:pPr>
              <w:jc w:val="both"/>
              <w:rPr>
                <w:rFonts w:ascii="Times New Roman" w:hAnsi="Times New Roman" w:cs="Times New Roman"/>
              </w:rPr>
            </w:pPr>
            <w:r>
              <w:rPr>
                <w:rFonts w:ascii="Times New Roman" w:hAnsi="Times New Roman" w:cs="Times New Roman"/>
              </w:rPr>
              <w:t xml:space="preserve">         </w:t>
            </w:r>
            <w:r w:rsidRPr="00045755">
              <w:rPr>
                <w:rFonts w:ascii="Times New Roman" w:hAnsi="Times New Roman" w:cs="Times New Roman"/>
              </w:rPr>
              <w:t>610</w:t>
            </w:r>
          </w:p>
        </w:tc>
      </w:tr>
      <w:tr w:rsidR="00045755" w:rsidRPr="00045755" w:rsidTr="00045755">
        <w:tc>
          <w:tcPr>
            <w:tcW w:w="3020" w:type="dxa"/>
          </w:tcPr>
          <w:p w:rsidR="00045755" w:rsidRPr="00045755" w:rsidRDefault="00045755" w:rsidP="00A62D35">
            <w:pPr>
              <w:jc w:val="both"/>
              <w:rPr>
                <w:rFonts w:ascii="Times New Roman" w:hAnsi="Times New Roman" w:cs="Times New Roman"/>
              </w:rPr>
            </w:pPr>
            <w:r w:rsidRPr="00045755">
              <w:rPr>
                <w:rFonts w:ascii="Times New Roman" w:hAnsi="Times New Roman" w:cs="Times New Roman"/>
              </w:rPr>
              <w:t>4000 ila 7999 KM arasında</w:t>
            </w:r>
          </w:p>
        </w:tc>
        <w:tc>
          <w:tcPr>
            <w:tcW w:w="3021" w:type="dxa"/>
          </w:tcPr>
          <w:p w:rsidR="00045755" w:rsidRPr="00045755" w:rsidRDefault="00045755" w:rsidP="00A62D35">
            <w:pPr>
              <w:jc w:val="both"/>
              <w:rPr>
                <w:rFonts w:ascii="Times New Roman" w:hAnsi="Times New Roman" w:cs="Times New Roman"/>
              </w:rPr>
            </w:pPr>
            <w:r>
              <w:rPr>
                <w:rFonts w:ascii="Times New Roman" w:hAnsi="Times New Roman" w:cs="Times New Roman"/>
              </w:rPr>
              <w:t xml:space="preserve">       </w:t>
            </w:r>
            <w:r w:rsidRPr="00045755">
              <w:rPr>
                <w:rFonts w:ascii="Times New Roman" w:hAnsi="Times New Roman" w:cs="Times New Roman"/>
              </w:rPr>
              <w:t>820</w:t>
            </w:r>
          </w:p>
        </w:tc>
        <w:tc>
          <w:tcPr>
            <w:tcW w:w="3021" w:type="dxa"/>
          </w:tcPr>
          <w:p w:rsidR="00045755" w:rsidRPr="00045755" w:rsidRDefault="00045755" w:rsidP="00A62D35">
            <w:pPr>
              <w:jc w:val="both"/>
              <w:rPr>
                <w:rFonts w:ascii="Times New Roman" w:hAnsi="Times New Roman" w:cs="Times New Roman"/>
              </w:rPr>
            </w:pPr>
          </w:p>
        </w:tc>
      </w:tr>
      <w:tr w:rsidR="00045755" w:rsidRPr="00A92F9B" w:rsidTr="00045755">
        <w:tc>
          <w:tcPr>
            <w:tcW w:w="3020" w:type="dxa"/>
          </w:tcPr>
          <w:p w:rsidR="00045755" w:rsidRPr="00045755" w:rsidRDefault="00045755" w:rsidP="00A62D35">
            <w:pPr>
              <w:jc w:val="both"/>
              <w:rPr>
                <w:rFonts w:ascii="Times New Roman" w:hAnsi="Times New Roman" w:cs="Times New Roman"/>
              </w:rPr>
            </w:pPr>
            <w:r w:rsidRPr="00045755">
              <w:rPr>
                <w:rFonts w:ascii="Times New Roman" w:hAnsi="Times New Roman" w:cs="Times New Roman"/>
              </w:rPr>
              <w:t>8000 KM veya daha fazla</w:t>
            </w:r>
          </w:p>
        </w:tc>
        <w:tc>
          <w:tcPr>
            <w:tcW w:w="3021" w:type="dxa"/>
          </w:tcPr>
          <w:p w:rsidR="00045755" w:rsidRPr="00045755" w:rsidRDefault="00045755" w:rsidP="00A62D35">
            <w:pPr>
              <w:jc w:val="both"/>
              <w:rPr>
                <w:rFonts w:ascii="Times New Roman" w:hAnsi="Times New Roman" w:cs="Times New Roman"/>
              </w:rPr>
            </w:pPr>
            <w:r>
              <w:rPr>
                <w:rFonts w:ascii="Times New Roman" w:hAnsi="Times New Roman" w:cs="Times New Roman"/>
              </w:rPr>
              <w:t xml:space="preserve">       </w:t>
            </w:r>
            <w:r w:rsidRPr="00045755">
              <w:rPr>
                <w:rFonts w:ascii="Times New Roman" w:hAnsi="Times New Roman" w:cs="Times New Roman"/>
              </w:rPr>
              <w:t>1.500</w:t>
            </w:r>
          </w:p>
        </w:tc>
        <w:tc>
          <w:tcPr>
            <w:tcW w:w="3021" w:type="dxa"/>
          </w:tcPr>
          <w:p w:rsidR="00045755" w:rsidRPr="00A92F9B" w:rsidRDefault="00045755" w:rsidP="00A62D35">
            <w:pPr>
              <w:jc w:val="both"/>
              <w:rPr>
                <w:rFonts w:ascii="Times New Roman" w:hAnsi="Times New Roman" w:cs="Times New Roman"/>
              </w:rPr>
            </w:pPr>
          </w:p>
        </w:tc>
      </w:tr>
    </w:tbl>
    <w:p w:rsidR="00514F8C" w:rsidRDefault="001C4529" w:rsidP="00045755">
      <w:pPr>
        <w:spacing w:after="0"/>
        <w:jc w:val="both"/>
        <w:rPr>
          <w:rFonts w:ascii="Times New Roman" w:hAnsi="Times New Roman" w:cs="Times New Roman"/>
          <w:color w:val="FF0000"/>
          <w:sz w:val="18"/>
          <w:szCs w:val="18"/>
        </w:rPr>
      </w:pPr>
      <w:r w:rsidRPr="001C4529">
        <w:rPr>
          <w:rFonts w:ascii="Times New Roman" w:hAnsi="Times New Roman" w:cs="Times New Roman"/>
          <w:color w:val="FF0000"/>
          <w:sz w:val="18"/>
          <w:szCs w:val="18"/>
        </w:rPr>
        <w:t>*Katılımcı başına seyahat mesafesi temel alınmıştır. Seyahat mesafeleri, Avrupa Komisyonu tarafından sağlanan mesafe hesaplayıcısı (http://ec.europa.eu/programmes/erasmus-plus/tools/distance_en.htm ) kullanılarak hesaplanmalıdır. Gidişdönüş seyahatini destekleyecek AB miktarının hesaplanması için tek yönlü bir seyahat mesafesi kullanılmalıdır.</w:t>
      </w:r>
    </w:p>
    <w:p w:rsidR="009F27EB" w:rsidRDefault="009F27EB" w:rsidP="00045755">
      <w:pPr>
        <w:spacing w:after="0"/>
        <w:jc w:val="both"/>
        <w:rPr>
          <w:rFonts w:ascii="Times New Roman" w:hAnsi="Times New Roman" w:cs="Times New Roman"/>
          <w:color w:val="FF0000"/>
          <w:sz w:val="18"/>
          <w:szCs w:val="18"/>
        </w:rPr>
      </w:pPr>
    </w:p>
    <w:p w:rsidR="009F27EB" w:rsidRDefault="009F27EB" w:rsidP="00045755">
      <w:pPr>
        <w:spacing w:after="0"/>
        <w:jc w:val="both"/>
        <w:rPr>
          <w:rFonts w:ascii="Times New Roman" w:hAnsi="Times New Roman" w:cs="Times New Roman"/>
          <w:color w:val="FF0000"/>
          <w:sz w:val="18"/>
          <w:szCs w:val="18"/>
        </w:rPr>
      </w:pPr>
    </w:p>
    <w:p w:rsidR="009F27EB" w:rsidRDefault="009F27EB" w:rsidP="009F27EB">
      <w:pPr>
        <w:autoSpaceDE w:val="0"/>
        <w:autoSpaceDN w:val="0"/>
        <w:adjustRightInd w:val="0"/>
        <w:spacing w:after="0" w:line="240" w:lineRule="auto"/>
        <w:jc w:val="both"/>
        <w:rPr>
          <w:rFonts w:ascii="Times New Roman" w:hAnsi="Times New Roman" w:cs="Times New Roman"/>
          <w:b/>
          <w:bCs/>
        </w:rPr>
      </w:pPr>
      <w:r w:rsidRPr="009F27EB">
        <w:rPr>
          <w:rFonts w:ascii="Times New Roman" w:hAnsi="Times New Roman" w:cs="Times New Roman"/>
          <w:b/>
          <w:bCs/>
        </w:rPr>
        <w:t>Seyahat Desteği Almayan Öğrenci/Yeni Mezunlar için Yeşil Seyahat Desteği</w:t>
      </w:r>
      <w:r w:rsidR="00435F88">
        <w:rPr>
          <w:rFonts w:ascii="Times New Roman" w:hAnsi="Times New Roman" w:cs="Times New Roman"/>
          <w:b/>
          <w:bCs/>
        </w:rPr>
        <w:t xml:space="preserve"> (2023 Proje Dönemi)</w:t>
      </w:r>
    </w:p>
    <w:p w:rsidR="009F27EB" w:rsidRPr="009F27EB" w:rsidRDefault="009F27EB" w:rsidP="009F27EB">
      <w:pPr>
        <w:autoSpaceDE w:val="0"/>
        <w:autoSpaceDN w:val="0"/>
        <w:adjustRightInd w:val="0"/>
        <w:spacing w:after="0" w:line="240" w:lineRule="auto"/>
        <w:jc w:val="both"/>
        <w:rPr>
          <w:rFonts w:ascii="Times New Roman" w:hAnsi="Times New Roman" w:cs="Times New Roman"/>
          <w:b/>
          <w:bCs/>
        </w:rPr>
      </w:pPr>
    </w:p>
    <w:p w:rsidR="009F27EB" w:rsidRDefault="009F27EB" w:rsidP="009F27EB">
      <w:pPr>
        <w:autoSpaceDE w:val="0"/>
        <w:autoSpaceDN w:val="0"/>
        <w:adjustRightInd w:val="0"/>
        <w:spacing w:after="0" w:line="240" w:lineRule="auto"/>
        <w:jc w:val="both"/>
        <w:rPr>
          <w:rFonts w:ascii="Times New Roman" w:hAnsi="Times New Roman" w:cs="Times New Roman"/>
        </w:rPr>
      </w:pPr>
      <w:r w:rsidRPr="009F27EB">
        <w:rPr>
          <w:rFonts w:ascii="Times New Roman" w:hAnsi="Times New Roman" w:cs="Times New Roman"/>
        </w:rPr>
        <w:t>Seyahat desteği almayan öğrenci/yeni mezunlara, yeşil seyahati tercih etmeleri durumunda,</w:t>
      </w:r>
      <w:r>
        <w:rPr>
          <w:rFonts w:ascii="Times New Roman" w:hAnsi="Times New Roman" w:cs="Times New Roman"/>
        </w:rPr>
        <w:t xml:space="preserve"> </w:t>
      </w:r>
      <w:r w:rsidRPr="009F27EB">
        <w:rPr>
          <w:rFonts w:ascii="Times New Roman" w:hAnsi="Times New Roman" w:cs="Times New Roman"/>
        </w:rPr>
        <w:t>tek seferlik 50 Avro yeşil seyahat desteği verilmelidir. Ayrıca gereken durumlarda yol için,</w:t>
      </w:r>
      <w:r>
        <w:rPr>
          <w:rFonts w:ascii="Times New Roman" w:hAnsi="Times New Roman" w:cs="Times New Roman"/>
        </w:rPr>
        <w:t xml:space="preserve"> </w:t>
      </w:r>
      <w:r w:rsidRPr="009F27EB">
        <w:rPr>
          <w:rFonts w:ascii="Times New Roman" w:hAnsi="Times New Roman" w:cs="Times New Roman"/>
        </w:rPr>
        <w:t>gün sayısı kadar, azami dört günlük bireysel destek hibesi verilir.</w:t>
      </w:r>
    </w:p>
    <w:p w:rsidR="009F27EB" w:rsidRPr="009F27EB" w:rsidRDefault="009F27EB" w:rsidP="009F27EB">
      <w:pPr>
        <w:autoSpaceDE w:val="0"/>
        <w:autoSpaceDN w:val="0"/>
        <w:adjustRightInd w:val="0"/>
        <w:spacing w:after="0" w:line="240" w:lineRule="auto"/>
        <w:jc w:val="both"/>
        <w:rPr>
          <w:rFonts w:ascii="Times New Roman" w:hAnsi="Times New Roman" w:cs="Times New Roman"/>
        </w:rPr>
      </w:pPr>
    </w:p>
    <w:p w:rsidR="009F27EB" w:rsidRDefault="009F27EB" w:rsidP="009F27EB">
      <w:pPr>
        <w:autoSpaceDE w:val="0"/>
        <w:autoSpaceDN w:val="0"/>
        <w:adjustRightInd w:val="0"/>
        <w:spacing w:after="0" w:line="240" w:lineRule="auto"/>
        <w:jc w:val="both"/>
        <w:rPr>
          <w:rFonts w:ascii="Times New Roman" w:hAnsi="Times New Roman" w:cs="Times New Roman"/>
        </w:rPr>
      </w:pPr>
      <w:r w:rsidRPr="009F27EB">
        <w:rPr>
          <w:rFonts w:ascii="Times New Roman" w:hAnsi="Times New Roman" w:cs="Times New Roman"/>
        </w:rPr>
        <w:t xml:space="preserve">Yeşil seyahat; seyahatin düşük karbon </w:t>
      </w:r>
      <w:proofErr w:type="spellStart"/>
      <w:r w:rsidRPr="009F27EB">
        <w:rPr>
          <w:rFonts w:ascii="Times New Roman" w:hAnsi="Times New Roman" w:cs="Times New Roman"/>
        </w:rPr>
        <w:t>salımlı</w:t>
      </w:r>
      <w:proofErr w:type="spellEnd"/>
      <w:r w:rsidRPr="009F27EB">
        <w:rPr>
          <w:rFonts w:ascii="Times New Roman" w:hAnsi="Times New Roman" w:cs="Times New Roman"/>
        </w:rPr>
        <w:t xml:space="preserve"> toplu ulaşım araçlarının kullanılarak</w:t>
      </w:r>
      <w:r>
        <w:rPr>
          <w:rFonts w:ascii="Times New Roman" w:hAnsi="Times New Roman" w:cs="Times New Roman"/>
        </w:rPr>
        <w:t xml:space="preserve"> </w:t>
      </w:r>
      <w:r w:rsidRPr="009F27EB">
        <w:rPr>
          <w:rFonts w:ascii="Times New Roman" w:hAnsi="Times New Roman" w:cs="Times New Roman"/>
        </w:rPr>
        <w:t>gerçekleştirilmesidir. Otobüs, tren, paylaşımlı otomobil kullanımı yeşil seyahat kapsamında</w:t>
      </w:r>
      <w:r>
        <w:rPr>
          <w:rFonts w:ascii="Times New Roman" w:hAnsi="Times New Roman" w:cs="Times New Roman"/>
        </w:rPr>
        <w:t xml:space="preserve"> </w:t>
      </w:r>
      <w:r w:rsidRPr="009F27EB">
        <w:rPr>
          <w:rFonts w:ascii="Times New Roman" w:hAnsi="Times New Roman" w:cs="Times New Roman"/>
        </w:rPr>
        <w:t>yer alır. Yeşil seyahat desteği alınabilmesi için gidişte ve dönüşte yeşil seyahat kullanılması</w:t>
      </w:r>
      <w:r>
        <w:rPr>
          <w:rFonts w:ascii="Times New Roman" w:hAnsi="Times New Roman" w:cs="Times New Roman"/>
        </w:rPr>
        <w:t xml:space="preserve"> </w:t>
      </w:r>
      <w:r w:rsidRPr="009F27EB">
        <w:rPr>
          <w:rFonts w:ascii="Times New Roman" w:hAnsi="Times New Roman" w:cs="Times New Roman"/>
        </w:rPr>
        <w:t>ve seyahatin tamamının yarısından fazlasının yeşil araçlar kullanılarak yapılması</w:t>
      </w:r>
      <w:r>
        <w:rPr>
          <w:rFonts w:ascii="Times New Roman" w:hAnsi="Times New Roman" w:cs="Times New Roman"/>
        </w:rPr>
        <w:t xml:space="preserve"> </w:t>
      </w:r>
      <w:r w:rsidRPr="009F27EB">
        <w:rPr>
          <w:rFonts w:ascii="Times New Roman" w:hAnsi="Times New Roman" w:cs="Times New Roman"/>
        </w:rPr>
        <w:t>gerekmektedir.</w:t>
      </w:r>
    </w:p>
    <w:p w:rsidR="00B71992" w:rsidRDefault="00B71992" w:rsidP="009F27EB">
      <w:pPr>
        <w:autoSpaceDE w:val="0"/>
        <w:autoSpaceDN w:val="0"/>
        <w:adjustRightInd w:val="0"/>
        <w:spacing w:after="0" w:line="240" w:lineRule="auto"/>
        <w:jc w:val="both"/>
        <w:rPr>
          <w:rFonts w:ascii="Times New Roman" w:hAnsi="Times New Roman" w:cs="Times New Roman"/>
          <w:color w:val="FF0000"/>
        </w:rPr>
      </w:pPr>
    </w:p>
    <w:p w:rsidR="00435F88" w:rsidRDefault="00435F88" w:rsidP="00435F88">
      <w:pPr>
        <w:autoSpaceDE w:val="0"/>
        <w:autoSpaceDN w:val="0"/>
        <w:adjustRightInd w:val="0"/>
        <w:spacing w:after="0" w:line="240" w:lineRule="auto"/>
        <w:jc w:val="both"/>
        <w:rPr>
          <w:rFonts w:ascii="Times New Roman" w:hAnsi="Times New Roman" w:cs="Times New Roman"/>
          <w:b/>
          <w:bCs/>
        </w:rPr>
      </w:pPr>
      <w:r w:rsidRPr="009F27EB">
        <w:rPr>
          <w:rFonts w:ascii="Times New Roman" w:hAnsi="Times New Roman" w:cs="Times New Roman"/>
          <w:b/>
          <w:bCs/>
        </w:rPr>
        <w:t>Seyahat Desteği Almayan Öğrenci/Yeni Mezunlar için Yeşil Seyahat Desteği</w:t>
      </w:r>
      <w:r>
        <w:rPr>
          <w:rFonts w:ascii="Times New Roman" w:hAnsi="Times New Roman" w:cs="Times New Roman"/>
          <w:b/>
          <w:bCs/>
        </w:rPr>
        <w:t xml:space="preserve"> (202</w:t>
      </w:r>
      <w:r>
        <w:rPr>
          <w:rFonts w:ascii="Times New Roman" w:hAnsi="Times New Roman" w:cs="Times New Roman"/>
          <w:b/>
          <w:bCs/>
        </w:rPr>
        <w:t>4</w:t>
      </w:r>
      <w:r>
        <w:rPr>
          <w:rFonts w:ascii="Times New Roman" w:hAnsi="Times New Roman" w:cs="Times New Roman"/>
          <w:b/>
          <w:bCs/>
        </w:rPr>
        <w:t xml:space="preserve"> Proje Dönemi)</w:t>
      </w:r>
    </w:p>
    <w:p w:rsidR="00435F88" w:rsidRDefault="00435F88" w:rsidP="009F27EB">
      <w:pPr>
        <w:autoSpaceDE w:val="0"/>
        <w:autoSpaceDN w:val="0"/>
        <w:adjustRightInd w:val="0"/>
        <w:spacing w:after="0" w:line="240" w:lineRule="auto"/>
        <w:jc w:val="both"/>
        <w:rPr>
          <w:rFonts w:ascii="Times New Roman" w:hAnsi="Times New Roman" w:cs="Times New Roman"/>
          <w:color w:val="FF0000"/>
        </w:rPr>
      </w:pPr>
    </w:p>
    <w:p w:rsidR="00435F88" w:rsidRDefault="00435F88" w:rsidP="00435F88">
      <w:pPr>
        <w:pStyle w:val="Default"/>
        <w:jc w:val="both"/>
        <w:rPr>
          <w:sz w:val="23"/>
          <w:szCs w:val="23"/>
        </w:rPr>
      </w:pPr>
      <w:r w:rsidRPr="00435F88">
        <w:rPr>
          <w:sz w:val="23"/>
          <w:szCs w:val="23"/>
        </w:rPr>
        <w:t xml:space="preserve">Yeşil seyahat; seyahatin düşük karbon </w:t>
      </w:r>
      <w:proofErr w:type="spellStart"/>
      <w:r w:rsidRPr="00435F88">
        <w:rPr>
          <w:sz w:val="23"/>
          <w:szCs w:val="23"/>
        </w:rPr>
        <w:t>salımlı</w:t>
      </w:r>
      <w:proofErr w:type="spellEnd"/>
      <w:r w:rsidRPr="00435F88">
        <w:rPr>
          <w:sz w:val="23"/>
          <w:szCs w:val="23"/>
        </w:rPr>
        <w:t xml:space="preserve"> toplu ulaşım araçlarının kullanılarak gerçekleştirilmesidir. Otobüs, tren, paylaşımlı otomobil kullanımı yeşil seyahat kapsamında yer alır. Yeşil seyahat desteği alınabilmesi için gidişte ve dönüşte yeşil seyahat kullanılması ve seyahatin tamamının yarısından fazlasının yeşil araçlar kullanılarak yapılması gerekmektedir. </w:t>
      </w:r>
    </w:p>
    <w:p w:rsidR="00435F88" w:rsidRPr="00435F88" w:rsidRDefault="00435F88" w:rsidP="00435F88">
      <w:pPr>
        <w:pStyle w:val="Default"/>
        <w:jc w:val="both"/>
        <w:rPr>
          <w:sz w:val="23"/>
          <w:szCs w:val="23"/>
        </w:rPr>
      </w:pPr>
    </w:p>
    <w:p w:rsidR="00435F88" w:rsidRDefault="00435F88" w:rsidP="00435F88">
      <w:pPr>
        <w:autoSpaceDE w:val="0"/>
        <w:autoSpaceDN w:val="0"/>
        <w:adjustRightInd w:val="0"/>
        <w:spacing w:after="0" w:line="240" w:lineRule="auto"/>
        <w:jc w:val="both"/>
        <w:rPr>
          <w:rFonts w:ascii="Times New Roman" w:hAnsi="Times New Roman" w:cs="Times New Roman"/>
          <w:sz w:val="23"/>
          <w:szCs w:val="23"/>
        </w:rPr>
      </w:pPr>
      <w:r w:rsidRPr="00435F88">
        <w:rPr>
          <w:rFonts w:ascii="Times New Roman" w:hAnsi="Times New Roman" w:cs="Times New Roman"/>
          <w:sz w:val="23"/>
          <w:szCs w:val="23"/>
        </w:rPr>
        <w:t>Gerektiğinde, seyahat günleri için en fazla iki gün ve yeşil seyahat kullanılması durumunda en fazla altı gün olmak üzere, faaliyet öncesi ve sonrası seyahat süresi için bireysel destek hibesi verilebilir.</w:t>
      </w:r>
    </w:p>
    <w:p w:rsidR="00435F88" w:rsidRDefault="00435F88" w:rsidP="00435F88">
      <w:pPr>
        <w:autoSpaceDE w:val="0"/>
        <w:autoSpaceDN w:val="0"/>
        <w:adjustRightInd w:val="0"/>
        <w:spacing w:after="0" w:line="240" w:lineRule="auto"/>
        <w:jc w:val="both"/>
        <w:rPr>
          <w:rFonts w:ascii="Times New Roman" w:hAnsi="Times New Roman" w:cs="Times New Roman"/>
          <w:sz w:val="23"/>
          <w:szCs w:val="23"/>
        </w:rPr>
      </w:pPr>
    </w:p>
    <w:p w:rsidR="00435F88" w:rsidRDefault="00435F88" w:rsidP="00435F88">
      <w:pPr>
        <w:autoSpaceDE w:val="0"/>
        <w:autoSpaceDN w:val="0"/>
        <w:adjustRightInd w:val="0"/>
        <w:spacing w:after="0" w:line="240" w:lineRule="auto"/>
        <w:jc w:val="both"/>
        <w:rPr>
          <w:rFonts w:ascii="Times New Roman" w:hAnsi="Times New Roman" w:cs="Times New Roman"/>
          <w:sz w:val="23"/>
          <w:szCs w:val="23"/>
        </w:rPr>
      </w:pPr>
    </w:p>
    <w:tbl>
      <w:tblPr>
        <w:tblStyle w:val="TabloKlavuzu"/>
        <w:tblW w:w="0" w:type="auto"/>
        <w:tblLook w:val="04A0" w:firstRow="1" w:lastRow="0" w:firstColumn="1" w:lastColumn="0" w:noHBand="0" w:noVBand="1"/>
      </w:tblPr>
      <w:tblGrid>
        <w:gridCol w:w="9062"/>
      </w:tblGrid>
      <w:tr w:rsidR="00435F88" w:rsidTr="00435F88">
        <w:tc>
          <w:tcPr>
            <w:tcW w:w="9062" w:type="dxa"/>
          </w:tcPr>
          <w:tbl>
            <w:tblPr>
              <w:tblStyle w:val="TabloKlavuzu"/>
              <w:tblW w:w="0" w:type="auto"/>
              <w:tblLook w:val="0000" w:firstRow="0" w:lastRow="0" w:firstColumn="0" w:lastColumn="0" w:noHBand="0" w:noVBand="0"/>
            </w:tblPr>
            <w:tblGrid>
              <w:gridCol w:w="2946"/>
              <w:gridCol w:w="2947"/>
              <w:gridCol w:w="2943"/>
            </w:tblGrid>
            <w:tr w:rsidR="00435F88" w:rsidRPr="00435F88" w:rsidTr="00435F88">
              <w:trPr>
                <w:trHeight w:val="245"/>
              </w:trPr>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b/>
                      <w:bCs/>
                      <w:color w:val="000000"/>
                      <w:sz w:val="23"/>
                      <w:szCs w:val="23"/>
                    </w:rPr>
                    <w:t xml:space="preserve">Seyahat Mesafesi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b/>
                      <w:bCs/>
                      <w:color w:val="000000"/>
                      <w:sz w:val="23"/>
                      <w:szCs w:val="23"/>
                    </w:rPr>
                    <w:t xml:space="preserve">Standart Seyahat Hibe Tutarı (Avro)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b/>
                      <w:bCs/>
                      <w:color w:val="000000"/>
                      <w:sz w:val="23"/>
                      <w:szCs w:val="23"/>
                    </w:rPr>
                    <w:t xml:space="preserve">Yeşil Seyahat Hibe Tutarı (Avro) </w:t>
                  </w:r>
                </w:p>
              </w:tc>
            </w:tr>
            <w:tr w:rsidR="00435F88" w:rsidRPr="00435F88" w:rsidTr="00435F88">
              <w:trPr>
                <w:trHeight w:val="109"/>
              </w:trPr>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10 ila 99 KM arasında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28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56 </w:t>
                  </w:r>
                </w:p>
              </w:tc>
            </w:tr>
            <w:tr w:rsidR="00435F88" w:rsidRPr="00435F88" w:rsidTr="00435F88">
              <w:trPr>
                <w:trHeight w:val="109"/>
              </w:trPr>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100 ila 499 KM arasında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211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285 </w:t>
                  </w:r>
                </w:p>
              </w:tc>
            </w:tr>
            <w:tr w:rsidR="00435F88" w:rsidRPr="00435F88" w:rsidTr="00435F88">
              <w:trPr>
                <w:trHeight w:val="109"/>
              </w:trPr>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500 ila 1999 KM arasında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309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417 </w:t>
                  </w:r>
                </w:p>
              </w:tc>
            </w:tr>
            <w:tr w:rsidR="00435F88" w:rsidRPr="00435F88" w:rsidTr="00435F88">
              <w:trPr>
                <w:trHeight w:val="109"/>
              </w:trPr>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2000 ila 2999 KM arasında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395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535 </w:t>
                  </w:r>
                </w:p>
              </w:tc>
            </w:tr>
            <w:tr w:rsidR="00435F88" w:rsidRPr="00435F88" w:rsidTr="00435F88">
              <w:trPr>
                <w:trHeight w:val="109"/>
              </w:trPr>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3000 ila 3999 KM arasında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580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785 </w:t>
                  </w:r>
                </w:p>
              </w:tc>
            </w:tr>
            <w:tr w:rsidR="00435F88" w:rsidRPr="00435F88" w:rsidTr="00435F88">
              <w:trPr>
                <w:trHeight w:val="109"/>
              </w:trPr>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4000 ila 7999 KM arasında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1188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1188 </w:t>
                  </w:r>
                </w:p>
              </w:tc>
            </w:tr>
            <w:tr w:rsidR="00435F88" w:rsidRPr="00435F88" w:rsidTr="00435F88">
              <w:trPr>
                <w:trHeight w:val="109"/>
              </w:trPr>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8000 KM veya daha fazla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1735 </w:t>
                  </w:r>
                </w:p>
              </w:tc>
              <w:tc>
                <w:tcPr>
                  <w:tcW w:w="3045" w:type="dxa"/>
                </w:tcPr>
                <w:p w:rsidR="00435F88" w:rsidRPr="00435F88" w:rsidRDefault="00435F88" w:rsidP="004B1B07">
                  <w:pPr>
                    <w:autoSpaceDE w:val="0"/>
                    <w:autoSpaceDN w:val="0"/>
                    <w:adjustRightInd w:val="0"/>
                    <w:rPr>
                      <w:rFonts w:ascii="Times New Roman" w:hAnsi="Times New Roman" w:cs="Times New Roman"/>
                      <w:color w:val="000000"/>
                      <w:sz w:val="23"/>
                      <w:szCs w:val="23"/>
                    </w:rPr>
                  </w:pPr>
                  <w:r w:rsidRPr="00435F88">
                    <w:rPr>
                      <w:rFonts w:ascii="Times New Roman" w:hAnsi="Times New Roman" w:cs="Times New Roman"/>
                      <w:color w:val="000000"/>
                      <w:sz w:val="23"/>
                      <w:szCs w:val="23"/>
                    </w:rPr>
                    <w:t xml:space="preserve">1735 </w:t>
                  </w:r>
                </w:p>
              </w:tc>
            </w:tr>
          </w:tbl>
          <w:p w:rsidR="00435F88" w:rsidRDefault="00435F88"/>
        </w:tc>
      </w:tr>
    </w:tbl>
    <w:p w:rsidR="00435F88" w:rsidRPr="00435F88" w:rsidRDefault="00435F88" w:rsidP="00435F88">
      <w:pPr>
        <w:autoSpaceDE w:val="0"/>
        <w:autoSpaceDN w:val="0"/>
        <w:adjustRightInd w:val="0"/>
        <w:spacing w:after="0" w:line="240" w:lineRule="auto"/>
        <w:jc w:val="both"/>
        <w:rPr>
          <w:rFonts w:ascii="Times New Roman" w:hAnsi="Times New Roman" w:cs="Times New Roman"/>
          <w:color w:val="FF0000"/>
        </w:rPr>
      </w:pPr>
      <w:bookmarkStart w:id="0" w:name="_GoBack"/>
      <w:bookmarkEnd w:id="0"/>
    </w:p>
    <w:sectPr w:rsidR="00435F88" w:rsidRPr="00435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abic Typesetting">
    <w:altName w:val="Courier New"/>
    <w:charset w:val="A2"/>
    <w:family w:val="script"/>
    <w:pitch w:val="variable"/>
    <w:sig w:usb0="00000000" w:usb1="C0000000" w:usb2="00000008" w:usb3="00000000" w:csb0="000000D3" w:csb1="00000000"/>
  </w:font>
  <w:font w:name="Courier New">
    <w:panose1 w:val="02070309020205020404"/>
    <w:charset w:val="A2"/>
    <w:family w:val="modern"/>
    <w:pitch w:val="fixed"/>
    <w:sig w:usb0="E0002EFF" w:usb1="C0007843"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714E"/>
    <w:multiLevelType w:val="hybridMultilevel"/>
    <w:tmpl w:val="1158DE8E"/>
    <w:lvl w:ilvl="0" w:tplc="09068744">
      <w:start w:val="27"/>
      <w:numFmt w:val="bullet"/>
      <w:lvlText w:val=""/>
      <w:lvlJc w:val="left"/>
      <w:pPr>
        <w:ind w:left="1800" w:hanging="360"/>
      </w:pPr>
      <w:rPr>
        <w:rFonts w:ascii="Symbol" w:eastAsiaTheme="minorHAnsi" w:hAnsi="Symbol" w:cs="Arabic Typesetting"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29BF46F8"/>
    <w:multiLevelType w:val="hybridMultilevel"/>
    <w:tmpl w:val="0562FF2C"/>
    <w:lvl w:ilvl="0" w:tplc="AF04C500">
      <w:start w:val="1"/>
      <w:numFmt w:val="upp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4B00E0"/>
    <w:multiLevelType w:val="hybridMultilevel"/>
    <w:tmpl w:val="7292DC5C"/>
    <w:lvl w:ilvl="0" w:tplc="250EFB9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084EAD"/>
    <w:multiLevelType w:val="hybridMultilevel"/>
    <w:tmpl w:val="60145C72"/>
    <w:lvl w:ilvl="0" w:tplc="2AE61BF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F641AE"/>
    <w:multiLevelType w:val="hybridMultilevel"/>
    <w:tmpl w:val="7FEC106E"/>
    <w:lvl w:ilvl="0" w:tplc="C8B2029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71"/>
    <w:rsid w:val="00001C76"/>
    <w:rsid w:val="000151EE"/>
    <w:rsid w:val="000158BE"/>
    <w:rsid w:val="0002484E"/>
    <w:rsid w:val="00045755"/>
    <w:rsid w:val="00053F90"/>
    <w:rsid w:val="001C4529"/>
    <w:rsid w:val="001D7653"/>
    <w:rsid w:val="00292676"/>
    <w:rsid w:val="00333141"/>
    <w:rsid w:val="003E74BF"/>
    <w:rsid w:val="00435F88"/>
    <w:rsid w:val="0045698E"/>
    <w:rsid w:val="004B7B47"/>
    <w:rsid w:val="00514F8C"/>
    <w:rsid w:val="005309B5"/>
    <w:rsid w:val="00575C13"/>
    <w:rsid w:val="005D6898"/>
    <w:rsid w:val="005F198F"/>
    <w:rsid w:val="00751339"/>
    <w:rsid w:val="00777614"/>
    <w:rsid w:val="007C4A02"/>
    <w:rsid w:val="00804453"/>
    <w:rsid w:val="0087400D"/>
    <w:rsid w:val="008E3571"/>
    <w:rsid w:val="009131FD"/>
    <w:rsid w:val="00970896"/>
    <w:rsid w:val="009A523B"/>
    <w:rsid w:val="009D0032"/>
    <w:rsid w:val="009F27EB"/>
    <w:rsid w:val="00A672A6"/>
    <w:rsid w:val="00A92F9B"/>
    <w:rsid w:val="00B65320"/>
    <w:rsid w:val="00B71992"/>
    <w:rsid w:val="00BC7D84"/>
    <w:rsid w:val="00DA185C"/>
    <w:rsid w:val="00E202D3"/>
    <w:rsid w:val="00EC0990"/>
    <w:rsid w:val="00F2356B"/>
    <w:rsid w:val="00F36023"/>
    <w:rsid w:val="00FA79A7"/>
    <w:rsid w:val="00FE6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8C27"/>
  <w15:chartTrackingRefBased/>
  <w15:docId w15:val="{D5AEB267-B8BA-4021-ADD8-1C30157F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01C76"/>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5D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6532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786</Words>
  <Characters>4483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 </cp:lastModifiedBy>
  <cp:revision>38</cp:revision>
  <dcterms:created xsi:type="dcterms:W3CDTF">2021-04-15T08:39:00Z</dcterms:created>
  <dcterms:modified xsi:type="dcterms:W3CDTF">2024-04-18T09:42:00Z</dcterms:modified>
</cp:coreProperties>
</file>